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B58" w:rsidRPr="00AA342D" w:rsidRDefault="00EA2FF7" w:rsidP="002D7AE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EA2FF7" w:rsidRDefault="00EA2FF7" w:rsidP="002D7AE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F7" w:rsidRDefault="00EA2FF7" w:rsidP="00EA2F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9FF249B" wp14:editId="7C2C4C42">
            <wp:extent cx="9191625" cy="54768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EA2FF7" w:rsidRDefault="00EA2FF7" w:rsidP="00EA2F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F7" w:rsidRPr="00A32CF5" w:rsidRDefault="00EA2FF7" w:rsidP="00EA2FF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C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EA2FF7" w:rsidRDefault="00EA2FF7" w:rsidP="00EA2F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41E7E7" wp14:editId="166A5DD1">
            <wp:extent cx="8905875" cy="529590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A2FF7" w:rsidRDefault="00EA2FF7" w:rsidP="00EA2F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F7" w:rsidRPr="002D7AEA" w:rsidRDefault="00EA2FF7" w:rsidP="00EA2F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A2FF7" w:rsidRPr="002D7AEA" w:rsidSect="00AA34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A85" w:rsidRDefault="005F4A85" w:rsidP="002D7AEA">
      <w:pPr>
        <w:spacing w:after="0" w:line="240" w:lineRule="auto"/>
      </w:pPr>
      <w:r>
        <w:separator/>
      </w:r>
    </w:p>
  </w:endnote>
  <w:endnote w:type="continuationSeparator" w:id="0">
    <w:p w:rsidR="005F4A85" w:rsidRDefault="005F4A85" w:rsidP="002D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A85" w:rsidRDefault="005F4A85" w:rsidP="002D7AEA">
      <w:pPr>
        <w:spacing w:after="0" w:line="240" w:lineRule="auto"/>
      </w:pPr>
      <w:r>
        <w:separator/>
      </w:r>
    </w:p>
  </w:footnote>
  <w:footnote w:type="continuationSeparator" w:id="0">
    <w:p w:rsidR="005F4A85" w:rsidRDefault="005F4A85" w:rsidP="002D7A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AEA"/>
    <w:rsid w:val="000A3F6A"/>
    <w:rsid w:val="00293832"/>
    <w:rsid w:val="002D7AEA"/>
    <w:rsid w:val="00347B58"/>
    <w:rsid w:val="003B614D"/>
    <w:rsid w:val="004454C1"/>
    <w:rsid w:val="00465CE9"/>
    <w:rsid w:val="005F4A85"/>
    <w:rsid w:val="00A32CF5"/>
    <w:rsid w:val="00AA342D"/>
    <w:rsid w:val="00B55C5E"/>
    <w:rsid w:val="00B96959"/>
    <w:rsid w:val="00D401C1"/>
    <w:rsid w:val="00D838E5"/>
    <w:rsid w:val="00EA2FF7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27C70-0CA4-4500-B671-4CC18230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A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600">
                <a:solidFill>
                  <a:sysClr val="windowText" lastClr="000000"/>
                </a:solidFill>
              </a:rPr>
              <a:t>Выполнение нормативов объема по амбулаторно-поликлинической медицинской помощи</a:t>
            </a:r>
          </a:p>
        </c:rich>
      </c:tx>
      <c:layout>
        <c:manualLayout>
          <c:xMode val="edge"/>
          <c:yMode val="edge"/>
          <c:x val="0.11451119905348621"/>
          <c:y val="1.623188405797101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5921618360396073E-2"/>
          <c:y val="0.11204427054342773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 АПП объем'!$C$2</c:f>
              <c:strCache>
                <c:ptCount val="1"/>
                <c:pt idx="0">
                  <c:v>план 2026 г. (6 мес.)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214-4AC2-9039-A7F017A7E1F0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214-4AC2-9039-A7F017A7E1F0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214-4AC2-9039-A7F017A7E1F0}"/>
                </c:ext>
              </c:extLst>
            </c:dLbl>
            <c:dLbl>
              <c:idx val="3"/>
              <c:layout>
                <c:manualLayout>
                  <c:x val="-1.2232415902140673E-2"/>
                  <c:y val="4.3501895757810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A214-4AC2-9039-A7F017A7E1F0}"/>
                </c:ext>
              </c:extLst>
            </c:dLbl>
            <c:dLbl>
              <c:idx val="4"/>
              <c:layout>
                <c:manualLayout>
                  <c:x val="-2.7183146449201497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A214-4AC2-9039-A7F017A7E1F0}"/>
                </c:ext>
              </c:extLst>
            </c:dLbl>
            <c:dLbl>
              <c:idx val="5"/>
              <c:layout>
                <c:manualLayout>
                  <c:x val="-6.7957866123003734E-3"/>
                  <c:y val="-1.595051084953513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A214-4AC2-9039-A7F017A7E1F0}"/>
                </c:ext>
              </c:extLst>
            </c:dLbl>
            <c:dLbl>
              <c:idx val="6"/>
              <c:layout>
                <c:manualLayout>
                  <c:x val="-4.0774111156898852E-3"/>
                  <c:y val="-4.58588509769618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A214-4AC2-9039-A7F017A7E1F0}"/>
                </c:ext>
              </c:extLst>
            </c:dLbl>
            <c:dLbl>
              <c:idx val="7"/>
              <c:layout>
                <c:manualLayout>
                  <c:x val="-5.4366292898402994E-3"/>
                  <c:y val="-6.52528436367189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A214-4AC2-9039-A7F017A7E1F0}"/>
                </c:ext>
              </c:extLst>
            </c:dLbl>
            <c:dLbl>
              <c:idx val="8"/>
              <c:layout>
                <c:manualLayout>
                  <c:x val="-8.154943934760548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A214-4AC2-9039-A7F017A7E1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 АПП объем'!$B$3:$B$12</c:f>
              <c:strCache>
                <c:ptCount val="10"/>
                <c:pt idx="0">
                  <c:v>профилактические мероприятия (посещение)</c:v>
                </c:pt>
                <c:pt idx="1">
                  <c:v>посещения с иными целями</c:v>
                </c:pt>
                <c:pt idx="2">
                  <c:v>поещения по неотложной помощи</c:v>
                </c:pt>
                <c:pt idx="3">
                  <c:v>обращения в связи с заболеваниями</c:v>
                </c:pt>
                <c:pt idx="4">
                  <c:v>медицинская реабилитация</c:v>
                </c:pt>
                <c:pt idx="5">
                  <c:v>диагностические исследования</c:v>
                </c:pt>
                <c:pt idx="6">
                  <c:v>школы для больных ХНИЗ (посещения)</c:v>
                </c:pt>
                <c:pt idx="7">
                  <c:v>центры здоровья (посещения)</c:v>
                </c:pt>
                <c:pt idx="8">
                  <c:v>диспансерное наблюдение</c:v>
                </c:pt>
                <c:pt idx="9">
                  <c:v>дистанционное наблюдение за состоянием здоровья пациентов с СД и АГ</c:v>
                </c:pt>
              </c:strCache>
            </c:strRef>
          </c:cat>
          <c:val>
            <c:numRef>
              <c:f>' АПП объем'!$C$3:$C$12</c:f>
              <c:numCache>
                <c:formatCode>#,##0</c:formatCode>
                <c:ptCount val="10"/>
                <c:pt idx="0">
                  <c:v>90346</c:v>
                </c:pt>
                <c:pt idx="1">
                  <c:v>272588</c:v>
                </c:pt>
                <c:pt idx="2">
                  <c:v>57059</c:v>
                </c:pt>
                <c:pt idx="3">
                  <c:v>142732</c:v>
                </c:pt>
                <c:pt idx="4">
                  <c:v>367</c:v>
                </c:pt>
                <c:pt idx="5">
                  <c:v>28614</c:v>
                </c:pt>
                <c:pt idx="6">
                  <c:v>22891</c:v>
                </c:pt>
                <c:pt idx="7">
                  <c:v>3574</c:v>
                </c:pt>
                <c:pt idx="8">
                  <c:v>29901</c:v>
                </c:pt>
                <c:pt idx="9">
                  <c:v>1966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A214-4AC2-9039-A7F017A7E1F0}"/>
            </c:ext>
          </c:extLst>
        </c:ser>
        <c:ser>
          <c:idx val="1"/>
          <c:order val="1"/>
          <c:tx>
            <c:strRef>
              <c:f>' АПП объем'!$D$2</c:f>
              <c:strCache>
                <c:ptCount val="1"/>
                <c:pt idx="0">
                  <c:v>факт 2026 г. (6 мес.)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-7.73927244315899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6587091069849688E-2"/>
                      <c:h val="2.498488817247632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A214-4AC2-9039-A7F017A7E1F0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A214-4AC2-9039-A7F017A7E1F0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A214-4AC2-9039-A7F017A7E1F0}"/>
                </c:ext>
              </c:extLst>
            </c:dLbl>
            <c:dLbl>
              <c:idx val="3"/>
              <c:layout>
                <c:manualLayout>
                  <c:x val="8.1549439347603989E-3"/>
                  <c:y val="2.17509478789057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A214-4AC2-9039-A7F017A7E1F0}"/>
                </c:ext>
              </c:extLst>
            </c:dLbl>
            <c:dLbl>
              <c:idx val="4"/>
              <c:layout>
                <c:manualLayout>
                  <c:x val="0"/>
                  <c:y val="-1.3050568727343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A214-4AC2-9039-A7F017A7E1F0}"/>
                </c:ext>
              </c:extLst>
            </c:dLbl>
            <c:dLbl>
              <c:idx val="5"/>
              <c:layout>
                <c:manualLayout>
                  <c:x val="1.1926776479672715E-2"/>
                  <c:y val="-1.65631469979296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A214-4AC2-9039-A7F017A7E1F0}"/>
                </c:ext>
              </c:extLst>
            </c:dLbl>
            <c:dLbl>
              <c:idx val="6"/>
              <c:layout>
                <c:manualLayout>
                  <c:x val="2.7183146449200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A214-4AC2-9039-A7F017A7E1F0}"/>
                </c:ext>
              </c:extLst>
            </c:dLbl>
            <c:dLbl>
              <c:idx val="7"/>
              <c:layout>
                <c:manualLayout>
                  <c:x val="5.436629289840299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A214-4AC2-9039-A7F017A7E1F0}"/>
                </c:ext>
              </c:extLst>
            </c:dLbl>
            <c:dLbl>
              <c:idx val="8"/>
              <c:layout>
                <c:manualLayout>
                  <c:x val="1.1094306281021803E-2"/>
                  <c:y val="-8.072251838085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A214-4AC2-9039-A7F017A7E1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 АПП объем'!$B$3:$B$12</c:f>
              <c:strCache>
                <c:ptCount val="10"/>
                <c:pt idx="0">
                  <c:v>профилактические мероприятия (посещение)</c:v>
                </c:pt>
                <c:pt idx="1">
                  <c:v>посещения с иными целями</c:v>
                </c:pt>
                <c:pt idx="2">
                  <c:v>поещения по неотложной помощи</c:v>
                </c:pt>
                <c:pt idx="3">
                  <c:v>обращения в связи с заболеваниями</c:v>
                </c:pt>
                <c:pt idx="4">
                  <c:v>медицинская реабилитация</c:v>
                </c:pt>
                <c:pt idx="5">
                  <c:v>диагностические исследования</c:v>
                </c:pt>
                <c:pt idx="6">
                  <c:v>школы для больных ХНИЗ (посещения)</c:v>
                </c:pt>
                <c:pt idx="7">
                  <c:v>центры здоровья (посещения)</c:v>
                </c:pt>
                <c:pt idx="8">
                  <c:v>диспансерное наблюдение</c:v>
                </c:pt>
                <c:pt idx="9">
                  <c:v>дистанционное наблюдение за состоянием здоровья пациентов с СД и АГ</c:v>
                </c:pt>
              </c:strCache>
            </c:strRef>
          </c:cat>
          <c:val>
            <c:numRef>
              <c:f>' АПП объем'!$D$3:$D$12</c:f>
              <c:numCache>
                <c:formatCode>#,##0</c:formatCode>
                <c:ptCount val="10"/>
                <c:pt idx="0">
                  <c:v>102848</c:v>
                </c:pt>
                <c:pt idx="1">
                  <c:v>334189</c:v>
                </c:pt>
                <c:pt idx="2">
                  <c:v>48553</c:v>
                </c:pt>
                <c:pt idx="3">
                  <c:v>159647</c:v>
                </c:pt>
                <c:pt idx="4">
                  <c:v>382</c:v>
                </c:pt>
                <c:pt idx="5">
                  <c:v>21481</c:v>
                </c:pt>
                <c:pt idx="6">
                  <c:v>6525</c:v>
                </c:pt>
                <c:pt idx="7">
                  <c:v>2508</c:v>
                </c:pt>
                <c:pt idx="8">
                  <c:v>26242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A214-4AC2-9039-A7F017A7E1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38947800"/>
        <c:axId val="638955640"/>
      </c:barChart>
      <c:lineChart>
        <c:grouping val="standard"/>
        <c:varyColors val="0"/>
        <c:ser>
          <c:idx val="2"/>
          <c:order val="2"/>
          <c:tx>
            <c:strRef>
              <c:f>' АПП объем'!$E$2</c:f>
              <c:strCache>
                <c:ptCount val="1"/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' АПП объем'!$B$3:$B$12</c:f>
              <c:strCache>
                <c:ptCount val="10"/>
                <c:pt idx="0">
                  <c:v>профилактические мероприятия (посещение)</c:v>
                </c:pt>
                <c:pt idx="1">
                  <c:v>посещения с иными целями</c:v>
                </c:pt>
                <c:pt idx="2">
                  <c:v>поещения по неотложной помощи</c:v>
                </c:pt>
                <c:pt idx="3">
                  <c:v>обращения в связи с заболеваниями</c:v>
                </c:pt>
                <c:pt idx="4">
                  <c:v>медицинская реабилитация</c:v>
                </c:pt>
                <c:pt idx="5">
                  <c:v>диагностические исследования</c:v>
                </c:pt>
                <c:pt idx="6">
                  <c:v>школы для больных ХНИЗ (посещения)</c:v>
                </c:pt>
                <c:pt idx="7">
                  <c:v>центры здоровья (посещения)</c:v>
                </c:pt>
                <c:pt idx="8">
                  <c:v>диспансерное наблюдение</c:v>
                </c:pt>
                <c:pt idx="9">
                  <c:v>дистанционное наблюдение за состоянием здоровья пациентов с СД и АГ</c:v>
                </c:pt>
              </c:strCache>
            </c:strRef>
          </c:cat>
          <c:val>
            <c:numRef>
              <c:f>' АПП объем'!$E$3:$E$12</c:f>
              <c:numCache>
                <c:formatCode>0</c:formatCode>
                <c:ptCount val="10"/>
                <c:pt idx="0">
                  <c:v>113.83791202709584</c:v>
                </c:pt>
                <c:pt idx="1">
                  <c:v>122.59857367162164</c:v>
                </c:pt>
                <c:pt idx="2">
                  <c:v>85.092623424875995</c:v>
                </c:pt>
                <c:pt idx="3">
                  <c:v>111.85088137208194</c:v>
                </c:pt>
                <c:pt idx="4">
                  <c:v>104.08719346049047</c:v>
                </c:pt>
                <c:pt idx="5">
                  <c:v>75.071643251555187</c:v>
                </c:pt>
                <c:pt idx="6">
                  <c:v>28.504652483508803</c:v>
                </c:pt>
                <c:pt idx="7">
                  <c:v>70.173475097929497</c:v>
                </c:pt>
                <c:pt idx="8">
                  <c:v>87.762951071870503</c:v>
                </c:pt>
                <c:pt idx="9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A214-4AC2-9039-A7F017A7E1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38947800"/>
        <c:axId val="638955640"/>
      </c:lineChart>
      <c:catAx>
        <c:axId val="638947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38955640"/>
        <c:crosses val="autoZero"/>
        <c:auto val="1"/>
        <c:lblAlgn val="ctr"/>
        <c:lblOffset val="100"/>
        <c:noMultiLvlLbl val="0"/>
      </c:catAx>
      <c:valAx>
        <c:axId val="638955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38947800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32588416546941529"/>
          <c:y val="0.92700412448443947"/>
          <c:w val="0.25486070199774252"/>
          <c:h val="3.42521967362775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>
                <a:solidFill>
                  <a:sysClr val="windowText" lastClr="000000"/>
                </a:solidFill>
              </a:rPr>
              <a:t>Выполнение нормативов</a:t>
            </a:r>
            <a:r>
              <a:rPr lang="ru-RU" sz="1400" baseline="0">
                <a:solidFill>
                  <a:sysClr val="windowText" lastClr="000000"/>
                </a:solidFill>
              </a:rPr>
              <a:t> финансового обеспечения  амбулаторно-поликлинической медицинской помощи</a:t>
            </a:r>
          </a:p>
          <a:p>
            <a:pPr>
              <a:defRPr sz="1400">
                <a:solidFill>
                  <a:sysClr val="windowText" lastClr="000000"/>
                </a:solidFill>
              </a:defRPr>
            </a:pPr>
            <a:r>
              <a:rPr lang="ru-RU" sz="1400" baseline="0">
                <a:solidFill>
                  <a:sysClr val="windowText" lastClr="000000"/>
                </a:solidFill>
              </a:rPr>
              <a:t> ( млн руб.)</a:t>
            </a:r>
            <a:endParaRPr lang="ru-RU" sz="1400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8937751764986593E-2"/>
          <c:y val="0.14653599954681923"/>
          <c:w val="0.92594415027543708"/>
          <c:h val="0.67538208803036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'АПП  фин.'!$C$2</c:f>
              <c:strCache>
                <c:ptCount val="1"/>
                <c:pt idx="0">
                  <c:v>план 2026 г. (6 мес.)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267-4A01-A7E2-D33C9219CF7D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267-4A01-A7E2-D33C9219CF7D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267-4A01-A7E2-D33C9219CF7D}"/>
                </c:ext>
              </c:extLst>
            </c:dLbl>
            <c:dLbl>
              <c:idx val="3"/>
              <c:layout>
                <c:manualLayout>
                  <c:x val="-1.2232415902140673E-2"/>
                  <c:y val="4.3501895757810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267-4A01-A7E2-D33C9219CF7D}"/>
                </c:ext>
              </c:extLst>
            </c:dLbl>
            <c:dLbl>
              <c:idx val="4"/>
              <c:layout>
                <c:manualLayout>
                  <c:x val="-2.7183146449201497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267-4A01-A7E2-D33C9219CF7D}"/>
                </c:ext>
              </c:extLst>
            </c:dLbl>
            <c:dLbl>
              <c:idx val="5"/>
              <c:layout>
                <c:manualLayout>
                  <c:x val="-6.7957866123003734E-3"/>
                  <c:y val="-1.595051084953513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4267-4A01-A7E2-D33C9219CF7D}"/>
                </c:ext>
              </c:extLst>
            </c:dLbl>
            <c:dLbl>
              <c:idx val="6"/>
              <c:layout>
                <c:manualLayout>
                  <c:x val="-4.0774719673803243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4267-4A01-A7E2-D33C9219CF7D}"/>
                </c:ext>
              </c:extLst>
            </c:dLbl>
            <c:dLbl>
              <c:idx val="7"/>
              <c:layout>
                <c:manualLayout>
                  <c:x val="-5.4366292898402994E-3"/>
                  <c:y val="-6.52528436367189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4267-4A01-A7E2-D33C9219CF7D}"/>
                </c:ext>
              </c:extLst>
            </c:dLbl>
            <c:dLbl>
              <c:idx val="8"/>
              <c:layout>
                <c:manualLayout>
                  <c:x val="-8.154943934760548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4267-4A01-A7E2-D33C9219CF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'АПП  фин.'!$B$3:$B$12</c:f>
              <c:strCache>
                <c:ptCount val="10"/>
                <c:pt idx="0">
                  <c:v>профилактические мероприятия (посещение)</c:v>
                </c:pt>
                <c:pt idx="1">
                  <c:v>посещения с иными целями</c:v>
                </c:pt>
                <c:pt idx="2">
                  <c:v>поещения по неотложной помощи</c:v>
                </c:pt>
                <c:pt idx="3">
                  <c:v>обращения в связи с заболеваниями</c:v>
                </c:pt>
                <c:pt idx="4">
                  <c:v>медицинская реабилитация</c:v>
                </c:pt>
                <c:pt idx="5">
                  <c:v>диагностические исследования</c:v>
                </c:pt>
                <c:pt idx="6">
                  <c:v>школы для больных ХНИЗ (посещения)</c:v>
                </c:pt>
                <c:pt idx="7">
                  <c:v>центры здоровья (посещения)</c:v>
                </c:pt>
                <c:pt idx="8">
                  <c:v>диспансерное наблюдение</c:v>
                </c:pt>
                <c:pt idx="9">
                  <c:v>дистанционное наблюдение за состоянием здоровья пациентов с СД и АГ</c:v>
                </c:pt>
              </c:strCache>
            </c:strRef>
          </c:cat>
          <c:val>
            <c:numRef>
              <c:f>'АПП  фин.'!$C$3:$C$12</c:f>
              <c:numCache>
                <c:formatCode>_-* #\ ##0.0_-;\-* #\ ##0.0_-;_-* "-"??_-;_-@_-</c:formatCode>
                <c:ptCount val="10"/>
                <c:pt idx="0">
                  <c:v>397.4</c:v>
                </c:pt>
                <c:pt idx="1">
                  <c:v>218.6</c:v>
                </c:pt>
                <c:pt idx="2">
                  <c:v>89.6</c:v>
                </c:pt>
                <c:pt idx="3">
                  <c:v>558.9</c:v>
                </c:pt>
                <c:pt idx="4">
                  <c:v>13.3</c:v>
                </c:pt>
                <c:pt idx="5">
                  <c:v>88.9</c:v>
                </c:pt>
                <c:pt idx="6">
                  <c:v>30.8</c:v>
                </c:pt>
                <c:pt idx="7">
                  <c:v>21.8</c:v>
                </c:pt>
                <c:pt idx="8">
                  <c:v>141.9</c:v>
                </c:pt>
                <c:pt idx="9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4267-4A01-A7E2-D33C9219CF7D}"/>
            </c:ext>
          </c:extLst>
        </c:ser>
        <c:ser>
          <c:idx val="1"/>
          <c:order val="1"/>
          <c:tx>
            <c:strRef>
              <c:f>'АПП  фин.'!$D$2</c:f>
              <c:strCache>
                <c:ptCount val="1"/>
                <c:pt idx="0">
                  <c:v>факт 2026 г. (6 мес.)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4267-4A01-A7E2-D33C9219CF7D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4267-4A01-A7E2-D33C9219CF7D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4267-4A01-A7E2-D33C9219CF7D}"/>
                </c:ext>
              </c:extLst>
            </c:dLbl>
            <c:dLbl>
              <c:idx val="3"/>
              <c:layout>
                <c:manualLayout>
                  <c:x val="8.1549439347603989E-3"/>
                  <c:y val="2.17509478789057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4267-4A01-A7E2-D33C9219CF7D}"/>
                </c:ext>
              </c:extLst>
            </c:dLbl>
            <c:dLbl>
              <c:idx val="4"/>
              <c:layout>
                <c:manualLayout>
                  <c:x val="0"/>
                  <c:y val="-1.3050568727343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4267-4A01-A7E2-D33C9219CF7D}"/>
                </c:ext>
              </c:extLst>
            </c:dLbl>
            <c:dLbl>
              <c:idx val="5"/>
              <c:layout>
                <c:manualLayout>
                  <c:x val="8.154943934760348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4267-4A01-A7E2-D33C9219CF7D}"/>
                </c:ext>
              </c:extLst>
            </c:dLbl>
            <c:dLbl>
              <c:idx val="6"/>
              <c:layout>
                <c:manualLayout>
                  <c:x val="2.7183146449200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4267-4A01-A7E2-D33C9219CF7D}"/>
                </c:ext>
              </c:extLst>
            </c:dLbl>
            <c:dLbl>
              <c:idx val="7"/>
              <c:layout>
                <c:manualLayout>
                  <c:x val="5.436629289840299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4267-4A01-A7E2-D33C9219CF7D}"/>
                </c:ext>
              </c:extLst>
            </c:dLbl>
            <c:dLbl>
              <c:idx val="8"/>
              <c:layout>
                <c:manualLayout>
                  <c:x val="5.4366292898401997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4267-4A01-A7E2-D33C9219CF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'АПП  фин.'!$B$3:$B$12</c:f>
              <c:strCache>
                <c:ptCount val="10"/>
                <c:pt idx="0">
                  <c:v>профилактические мероприятия (посещение)</c:v>
                </c:pt>
                <c:pt idx="1">
                  <c:v>посещения с иными целями</c:v>
                </c:pt>
                <c:pt idx="2">
                  <c:v>поещения по неотложной помощи</c:v>
                </c:pt>
                <c:pt idx="3">
                  <c:v>обращения в связи с заболеваниями</c:v>
                </c:pt>
                <c:pt idx="4">
                  <c:v>медицинская реабилитация</c:v>
                </c:pt>
                <c:pt idx="5">
                  <c:v>диагностические исследования</c:v>
                </c:pt>
                <c:pt idx="6">
                  <c:v>школы для больных ХНИЗ (посещения)</c:v>
                </c:pt>
                <c:pt idx="7">
                  <c:v>центры здоровья (посещения)</c:v>
                </c:pt>
                <c:pt idx="8">
                  <c:v>диспансерное наблюдение</c:v>
                </c:pt>
                <c:pt idx="9">
                  <c:v>дистанционное наблюдение за состоянием здоровья пациентов с СД и АГ</c:v>
                </c:pt>
              </c:strCache>
            </c:strRef>
          </c:cat>
          <c:val>
            <c:numRef>
              <c:f>'АПП  фин.'!$D$3:$D$12</c:f>
              <c:numCache>
                <c:formatCode>_-* #\ ##0.0_-;\-* #\ ##0.0_-;_-* "-"??_-;_-@_-</c:formatCode>
                <c:ptCount val="10"/>
                <c:pt idx="0">
                  <c:v>411.8</c:v>
                </c:pt>
                <c:pt idx="1">
                  <c:v>265.5</c:v>
                </c:pt>
                <c:pt idx="2">
                  <c:v>69.3</c:v>
                </c:pt>
                <c:pt idx="3">
                  <c:v>556</c:v>
                </c:pt>
                <c:pt idx="4">
                  <c:v>14.7</c:v>
                </c:pt>
                <c:pt idx="5">
                  <c:v>76.599999999999994</c:v>
                </c:pt>
                <c:pt idx="6">
                  <c:v>9.9</c:v>
                </c:pt>
                <c:pt idx="7">
                  <c:v>2.8</c:v>
                </c:pt>
                <c:pt idx="8">
                  <c:v>80.8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267-4A01-A7E2-D33C9219CF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3982768"/>
        <c:axId val="603984336"/>
        <c:extLst>
          <c:ext xmlns:c15="http://schemas.microsoft.com/office/drawing/2012/chart" uri="{02D57815-91ED-43cb-92C2-25804820EDAC}">
            <c15:filteredBa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'АПП  фин.'!$E$2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'АПП  фин.'!$B$3:$B$12</c15:sqref>
                        </c15:formulaRef>
                      </c:ext>
                    </c:extLst>
                    <c:strCache>
                      <c:ptCount val="10"/>
                      <c:pt idx="0">
                        <c:v>профилактические мероприятия (посещение)</c:v>
                      </c:pt>
                      <c:pt idx="1">
                        <c:v>посещения с иными целями</c:v>
                      </c:pt>
                      <c:pt idx="2">
                        <c:v>поещения по неотложной помощи</c:v>
                      </c:pt>
                      <c:pt idx="3">
                        <c:v>обращения в связи с заболеваниями</c:v>
                      </c:pt>
                      <c:pt idx="4">
                        <c:v>медицинская реабилитация</c:v>
                      </c:pt>
                      <c:pt idx="5">
                        <c:v>диагностические исследования</c:v>
                      </c:pt>
                      <c:pt idx="6">
                        <c:v>школы для больных ХНИЗ (посещения)</c:v>
                      </c:pt>
                      <c:pt idx="7">
                        <c:v>центры здоровья (посещения)</c:v>
                      </c:pt>
                      <c:pt idx="8">
                        <c:v>диспансерное наблюдение</c:v>
                      </c:pt>
                      <c:pt idx="9">
                        <c:v>дистанционное наблюдение за состоянием здоровья пациентов с СД и АГ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'АПП  фин.'!$E$3:$E$12</c15:sqref>
                        </c15:formulaRef>
                      </c:ext>
                    </c:extLst>
                    <c:numCache>
                      <c:formatCode>0</c:formatCode>
                      <c:ptCount val="10"/>
                      <c:pt idx="0">
                        <c:v>103.62355309511828</c:v>
                      </c:pt>
                      <c:pt idx="1">
                        <c:v>121.45471180237877</c:v>
                      </c:pt>
                      <c:pt idx="2">
                        <c:v>77.34375</c:v>
                      </c:pt>
                      <c:pt idx="3">
                        <c:v>99.481123635713004</c:v>
                      </c:pt>
                      <c:pt idx="4">
                        <c:v>110.52631578947367</c:v>
                      </c:pt>
                      <c:pt idx="5">
                        <c:v>86.164229471316077</c:v>
                      </c:pt>
                      <c:pt idx="6">
                        <c:v>32.142857142857146</c:v>
                      </c:pt>
                      <c:pt idx="7">
                        <c:v>12.844036697247704</c:v>
                      </c:pt>
                      <c:pt idx="8">
                        <c:v>56.941508104298798</c:v>
                      </c:pt>
                      <c:pt idx="9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4-4267-4A01-A7E2-D33C9219CF7D}"/>
                  </c:ext>
                </c:extLst>
              </c15:ser>
            </c15:filteredBarSeries>
          </c:ext>
        </c:extLst>
      </c:barChart>
      <c:catAx>
        <c:axId val="603982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03984336"/>
        <c:crosses val="autoZero"/>
        <c:auto val="1"/>
        <c:lblAlgn val="ctr"/>
        <c:lblOffset val="100"/>
        <c:noMultiLvlLbl val="0"/>
      </c:catAx>
      <c:valAx>
        <c:axId val="603984336"/>
        <c:scaling>
          <c:orientation val="minMax"/>
          <c:max val="1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\ ##0.0_-;\-* #\ ##0.0_-;_-* &quot;-&quot;??_-;_-@_-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03982768"/>
        <c:crosses val="autoZero"/>
        <c:crossBetween val="between"/>
        <c:majorUnit val="500"/>
        <c:minorUnit val="300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32966740543570672"/>
          <c:y val="0.94071233860512005"/>
          <c:w val="0.36693261485550382"/>
          <c:h val="5.92875722373268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0.07199</cdr:x>
      <cdr:y>0.5556</cdr:y>
    </cdr:from>
    <cdr:to>
      <cdr:x>0.15558</cdr:x>
      <cdr:y>0.62227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661731" y="3042930"/>
          <a:ext cx="768328" cy="3651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 baseline="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114 %</a:t>
          </a:r>
        </a:p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0.34936</cdr:x>
      <cdr:y>0.43448</cdr:y>
    </cdr:from>
    <cdr:to>
      <cdr:x>0.43964</cdr:x>
      <cdr:y>0.51199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11215" y="2379609"/>
          <a:ext cx="829820" cy="42451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112</a:t>
          </a:r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%</a:t>
          </a:r>
        </a:p>
      </cdr:txBody>
    </cdr:sp>
  </cdr:relSizeAnchor>
  <cdr:relSizeAnchor xmlns:cdr="http://schemas.openxmlformats.org/drawingml/2006/chartDrawing">
    <cdr:from>
      <cdr:x>0.44221</cdr:x>
      <cdr:y>0.70484</cdr:y>
    </cdr:from>
    <cdr:to>
      <cdr:x>0.52662</cdr:x>
      <cdr:y>0.75652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064612" y="3860342"/>
          <a:ext cx="775865" cy="2830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104</a:t>
          </a:r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%</a:t>
          </a:r>
        </a:p>
      </cdr:txBody>
    </cdr:sp>
  </cdr:relSizeAnchor>
  <cdr:relSizeAnchor xmlns:cdr="http://schemas.openxmlformats.org/drawingml/2006/chartDrawing">
    <cdr:from>
      <cdr:x>0.53685</cdr:x>
      <cdr:y>0.67133</cdr:y>
    </cdr:from>
    <cdr:to>
      <cdr:x>0.60475</cdr:x>
      <cdr:y>0.74671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4934518" y="3676783"/>
          <a:ext cx="624112" cy="4128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75</a:t>
          </a:r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%</a:t>
          </a:r>
        </a:p>
      </cdr:txBody>
    </cdr:sp>
  </cdr:relSizeAnchor>
  <cdr:relSizeAnchor xmlns:cdr="http://schemas.openxmlformats.org/drawingml/2006/chartDrawing">
    <cdr:from>
      <cdr:x>0.6272</cdr:x>
      <cdr:y>0.66333</cdr:y>
    </cdr:from>
    <cdr:to>
      <cdr:x>0.69966</cdr:x>
      <cdr:y>0.72924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765006" y="3632952"/>
          <a:ext cx="666025" cy="36098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29 %</a:t>
          </a:r>
        </a:p>
      </cdr:txBody>
    </cdr:sp>
  </cdr:relSizeAnchor>
  <cdr:relSizeAnchor xmlns:cdr="http://schemas.openxmlformats.org/drawingml/2006/chartDrawing">
    <cdr:from>
      <cdr:x>0.72508</cdr:x>
      <cdr:y>0.70052</cdr:y>
    </cdr:from>
    <cdr:to>
      <cdr:x>0.80409</cdr:x>
      <cdr:y>0.76643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664662" y="3836660"/>
          <a:ext cx="726230" cy="36098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70 %</a:t>
          </a:r>
        </a:p>
      </cdr:txBody>
    </cdr:sp>
  </cdr:relSizeAnchor>
  <cdr:relSizeAnchor xmlns:cdr="http://schemas.openxmlformats.org/drawingml/2006/chartDrawing">
    <cdr:from>
      <cdr:x>0.81114</cdr:x>
      <cdr:y>0.7022</cdr:y>
    </cdr:from>
    <cdr:to>
      <cdr:x>0.88508</cdr:x>
      <cdr:y>0.77097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455739" y="3845888"/>
          <a:ext cx="679628" cy="3766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88 %</a:t>
          </a: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0.90043</cdr:x>
      <cdr:y>0.71239</cdr:y>
    </cdr:from>
    <cdr:to>
      <cdr:x>0.96574</cdr:x>
      <cdr:y>0.77927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276403" y="3901692"/>
          <a:ext cx="600305" cy="36629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0 %</a:t>
          </a:r>
        </a:p>
      </cdr:txBody>
    </cdr:sp>
  </cdr:relSizeAnchor>
  <cdr:relSizeAnchor xmlns:cdr="http://schemas.openxmlformats.org/drawingml/2006/chartDrawing">
    <cdr:from>
      <cdr:x>0.1693</cdr:x>
      <cdr:y>0.14383</cdr:y>
    </cdr:from>
    <cdr:to>
      <cdr:x>0.26369</cdr:x>
      <cdr:y>0.21338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1556101" y="787729"/>
          <a:ext cx="867597" cy="38091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123 %</a:t>
          </a:r>
        </a:p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0.26361</cdr:x>
      <cdr:y>0.63722</cdr:y>
    </cdr:from>
    <cdr:to>
      <cdr:x>0.34525</cdr:x>
      <cdr:y>0.70976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422964" y="3489977"/>
          <a:ext cx="750405" cy="3972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85 %</a:t>
          </a:r>
        </a:p>
        <a:p xmlns:a="http://schemas.openxmlformats.org/drawingml/2006/main">
          <a:endParaRPr lang="ru-RU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0.07765</cdr:x>
      <cdr:y>0.42091</cdr:y>
    </cdr:from>
    <cdr:to>
      <cdr:x>0.17355</cdr:x>
      <cdr:y>0.50971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691569" y="2229106"/>
          <a:ext cx="854073" cy="4702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104 %</a:t>
          </a:r>
        </a:p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0.36326</cdr:x>
      <cdr:y>0.34039</cdr:y>
    </cdr:from>
    <cdr:to>
      <cdr:x>0.451</cdr:x>
      <cdr:y>0.42589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35162" y="1802681"/>
          <a:ext cx="781401" cy="452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99  %</a:t>
          </a:r>
        </a:p>
      </cdr:txBody>
    </cdr:sp>
  </cdr:relSizeAnchor>
  <cdr:relSizeAnchor xmlns:cdr="http://schemas.openxmlformats.org/drawingml/2006/chartDrawing">
    <cdr:from>
      <cdr:x>0.45995</cdr:x>
      <cdr:y>0.65726</cdr:y>
    </cdr:from>
    <cdr:to>
      <cdr:x>0.54266</cdr:x>
      <cdr:y>0.72312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096232" y="3480774"/>
          <a:ext cx="736605" cy="3487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111 %</a:t>
          </a:r>
        </a:p>
      </cdr:txBody>
    </cdr:sp>
  </cdr:relSizeAnchor>
  <cdr:relSizeAnchor xmlns:cdr="http://schemas.openxmlformats.org/drawingml/2006/chartDrawing">
    <cdr:from>
      <cdr:x>0.54695</cdr:x>
      <cdr:y>0.63248</cdr:y>
    </cdr:from>
    <cdr:to>
      <cdr:x>0.63598</cdr:x>
      <cdr:y>0.71799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4871061" y="3349527"/>
          <a:ext cx="792890" cy="4528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86</a:t>
          </a:r>
          <a:r>
            <a:rPr lang="ru-RU" sz="900" i="1" baseline="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</a:t>
          </a:r>
        </a:p>
      </cdr:txBody>
    </cdr:sp>
  </cdr:relSizeAnchor>
  <cdr:relSizeAnchor xmlns:cdr="http://schemas.openxmlformats.org/drawingml/2006/chartDrawing">
    <cdr:from>
      <cdr:x>0.63739</cdr:x>
      <cdr:y>0.63967</cdr:y>
    </cdr:from>
    <cdr:to>
      <cdr:x>0.70528</cdr:x>
      <cdr:y>0.72188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676508" y="3387627"/>
          <a:ext cx="604620" cy="435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32 %</a:t>
          </a:r>
        </a:p>
      </cdr:txBody>
    </cdr:sp>
  </cdr:relSizeAnchor>
  <cdr:relSizeAnchor xmlns:cdr="http://schemas.openxmlformats.org/drawingml/2006/chartDrawing">
    <cdr:from>
      <cdr:x>0.72577</cdr:x>
      <cdr:y>0.63755</cdr:y>
    </cdr:from>
    <cdr:to>
      <cdr:x>0.80498</cdr:x>
      <cdr:y>0.71648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463618" y="3376423"/>
          <a:ext cx="705434" cy="41800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13 %</a:t>
          </a:r>
        </a:p>
      </cdr:txBody>
    </cdr:sp>
  </cdr:relSizeAnchor>
  <cdr:relSizeAnchor xmlns:cdr="http://schemas.openxmlformats.org/drawingml/2006/chartDrawing">
    <cdr:from>
      <cdr:x>0.81947</cdr:x>
      <cdr:y>0.62559</cdr:y>
    </cdr:from>
    <cdr:to>
      <cdr:x>0.9013</cdr:x>
      <cdr:y>0.69794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298068" y="3313054"/>
          <a:ext cx="728768" cy="3831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57 %</a:t>
          </a: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0.91661</cdr:x>
      <cdr:y>0.71881</cdr:y>
    </cdr:from>
    <cdr:to>
      <cdr:x>0.98396</cdr:x>
      <cdr:y>0.78458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163189" y="3806727"/>
          <a:ext cx="599811" cy="3483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0 %</a:t>
          </a:r>
        </a:p>
      </cdr:txBody>
    </cdr:sp>
  </cdr:relSizeAnchor>
  <cdr:relSizeAnchor xmlns:cdr="http://schemas.openxmlformats.org/drawingml/2006/chartDrawing">
    <cdr:from>
      <cdr:x>0.18007</cdr:x>
      <cdr:y>0.52867</cdr:y>
    </cdr:from>
    <cdr:to>
      <cdr:x>0.2706</cdr:x>
      <cdr:y>0.62075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1603720" y="2799798"/>
          <a:ext cx="806249" cy="4876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121 %</a:t>
          </a:r>
        </a:p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0.26187</cdr:x>
      <cdr:y>0.56531</cdr:y>
    </cdr:from>
    <cdr:to>
      <cdr:x>0.34666</cdr:x>
      <cdr:y>0.64424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332192" y="2993849"/>
          <a:ext cx="755129" cy="4180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77 %</a:t>
          </a:r>
        </a:p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24814-052A-4D1B-8719-D98ECE4F1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2026-08-10T02:29:00Z</dcterms:created>
  <dcterms:modified xsi:type="dcterms:W3CDTF">2026-08-10T09:52:00Z</dcterms:modified>
</cp:coreProperties>
</file>